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w:t>
      </w:r>
      <w:r>
        <w:rPr>
          <w:rFonts w:hint="eastAsia" w:ascii="方正小标宋_GBK" w:hAnsi="华文中宋" w:eastAsia="方正小标宋_GBK" w:cs="宋体"/>
          <w:b/>
          <w:kern w:val="0"/>
          <w:sz w:val="48"/>
          <w:szCs w:val="48"/>
          <w:lang w:eastAsia="zh-CN"/>
        </w:rPr>
        <w:t>齐勒乌泽克镇寄宿制初级中学</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部门单位名称（公章）：特克斯县</w:t>
      </w:r>
      <w:r>
        <w:rPr>
          <w:rFonts w:hint="eastAsia" w:hAnsi="宋体" w:eastAsia="仿宋_GB2312" w:cs="宋体"/>
          <w:kern w:val="0"/>
          <w:sz w:val="36"/>
          <w:szCs w:val="36"/>
          <w:lang w:eastAsia="zh-CN"/>
        </w:rPr>
        <w:t>齐勒乌泽克镇寄宿制初级中学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无下属预算单位，下设7个处室，分别是：办公室、教务处、德育处、教研室、总务处、工会、党建办。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469</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事业在职人员</w:t>
      </w:r>
      <w:r>
        <w:rPr>
          <w:rStyle w:val="16"/>
          <w:rFonts w:hint="eastAsia" w:ascii="仿宋_GB2312" w:hAnsi="楷体" w:eastAsia="仿宋_GB2312"/>
          <w:b w:val="0"/>
          <w:spacing w:val="-4"/>
          <w:sz w:val="28"/>
          <w:szCs w:val="28"/>
          <w:highlight w:val="none"/>
          <w:lang w:val="en-US" w:eastAsia="zh-CN"/>
        </w:rPr>
        <w:t>469</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424</w:t>
      </w:r>
      <w:r>
        <w:rPr>
          <w:rStyle w:val="16"/>
          <w:rFonts w:hint="eastAsia" w:ascii="仿宋_GB2312" w:hAnsi="楷体" w:eastAsia="仿宋_GB2312"/>
          <w:b w:val="0"/>
          <w:spacing w:val="-4"/>
          <w:sz w:val="28"/>
          <w:szCs w:val="28"/>
          <w:highlight w:val="none"/>
        </w:rPr>
        <w:t>人），比上年增加</w:t>
      </w:r>
      <w:r>
        <w:rPr>
          <w:rStyle w:val="16"/>
          <w:rFonts w:hint="eastAsia" w:ascii="仿宋_GB2312" w:hAnsi="楷体" w:eastAsia="仿宋_GB2312"/>
          <w:b w:val="0"/>
          <w:spacing w:val="-4"/>
          <w:sz w:val="28"/>
          <w:szCs w:val="28"/>
          <w:highlight w:val="none"/>
          <w:lang w:val="en-US" w:eastAsia="zh-CN"/>
        </w:rPr>
        <w:t>45</w:t>
      </w:r>
      <w:r>
        <w:rPr>
          <w:rStyle w:val="16"/>
          <w:rFonts w:hint="eastAsia" w:ascii="仿宋_GB2312" w:hAnsi="楷体" w:eastAsia="仿宋_GB2312"/>
          <w:b w:val="0"/>
          <w:spacing w:val="-4"/>
          <w:sz w:val="28"/>
          <w:szCs w:val="28"/>
          <w:highlight w:val="none"/>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pStyle w:val="5"/>
        <w:spacing w:line="360" w:lineRule="auto"/>
        <w:ind w:firstLine="544" w:firstLineChars="200"/>
        <w:rPr>
          <w:rStyle w:val="16"/>
          <w:rFonts w:hint="eastAsia"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实有退休人员</w:t>
      </w:r>
      <w:r>
        <w:rPr>
          <w:rStyle w:val="16"/>
          <w:rFonts w:hint="eastAsia" w:ascii="仿宋_GB2312" w:hAnsi="楷体" w:eastAsia="仿宋_GB2312"/>
          <w:b w:val="0"/>
          <w:bCs/>
          <w:spacing w:val="-4"/>
          <w:sz w:val="28"/>
          <w:szCs w:val="28"/>
          <w:lang w:val="en-US" w:eastAsia="zh-CN"/>
        </w:rPr>
        <w:t>124</w:t>
      </w:r>
      <w:r>
        <w:rPr>
          <w:rStyle w:val="16"/>
          <w:rFonts w:hint="eastAsia" w:ascii="仿宋_GB2312" w:hAnsi="楷体" w:eastAsia="仿宋_GB2312"/>
          <w:b w:val="0"/>
          <w:bCs/>
          <w:spacing w:val="-4"/>
          <w:sz w:val="28"/>
          <w:szCs w:val="28"/>
        </w:rPr>
        <w:t>人（上年</w:t>
      </w:r>
      <w:r>
        <w:rPr>
          <w:rStyle w:val="16"/>
          <w:rFonts w:hint="eastAsia" w:ascii="仿宋_GB2312" w:hAnsi="楷体" w:eastAsia="仿宋_GB2312"/>
          <w:b w:val="0"/>
          <w:bCs/>
          <w:spacing w:val="-4"/>
          <w:sz w:val="28"/>
          <w:szCs w:val="28"/>
          <w:lang w:val="en-US" w:eastAsia="zh-CN"/>
        </w:rPr>
        <w:t>124</w:t>
      </w:r>
      <w:r>
        <w:rPr>
          <w:rStyle w:val="16"/>
          <w:rFonts w:hint="eastAsia" w:ascii="仿宋_GB2312" w:hAnsi="楷体" w:eastAsia="仿宋_GB2312"/>
          <w:b w:val="0"/>
          <w:bCs/>
          <w:spacing w:val="-4"/>
          <w:sz w:val="28"/>
          <w:szCs w:val="28"/>
        </w:rPr>
        <w:t>人）,比上一年减少</w:t>
      </w:r>
      <w:r>
        <w:rPr>
          <w:rStyle w:val="16"/>
          <w:rFonts w:hint="eastAsia" w:ascii="仿宋_GB2312" w:hAnsi="楷体" w:eastAsia="仿宋_GB2312"/>
          <w:b w:val="0"/>
          <w:bCs/>
          <w:spacing w:val="-4"/>
          <w:sz w:val="28"/>
          <w:szCs w:val="28"/>
          <w:lang w:val="en-US" w:eastAsia="zh-CN"/>
        </w:rPr>
        <w:t>0</w:t>
      </w:r>
      <w:r>
        <w:rPr>
          <w:rStyle w:val="16"/>
          <w:rFonts w:hint="eastAsia" w:ascii="仿宋_GB2312" w:hAnsi="楷体" w:eastAsia="仿宋_GB2312"/>
          <w:b w:val="0"/>
          <w:bCs/>
          <w:spacing w:val="-4"/>
          <w:sz w:val="28"/>
          <w:szCs w:val="28"/>
        </w:rPr>
        <w:t>人。</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rPr>
      </w:pPr>
      <w:bookmarkStart w:id="6" w:name="_Toc70450294"/>
      <w:r>
        <w:rPr>
          <w:rStyle w:val="16"/>
          <w:rFonts w:hint="eastAsia" w:ascii="仿宋_GB2312" w:hAnsi="楷体" w:eastAsia="仿宋_GB2312"/>
          <w:b w:val="0"/>
          <w:spacing w:val="-4"/>
          <w:sz w:val="28"/>
          <w:szCs w:val="28"/>
        </w:rPr>
        <w:t>（1）确保人员经费的合理分配。</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（4）完成每年教学任务。全面推进各类教师能力提升培训，加强教师队伍建设。完成好教育教学管理工作。</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2021年批复</w:t>
      </w:r>
      <w:r>
        <w:rPr>
          <w:rStyle w:val="16"/>
          <w:rFonts w:hint="eastAsia" w:ascii="仿宋_GB2312" w:hAnsi="楷体" w:eastAsia="仿宋_GB2312"/>
          <w:b w:val="0"/>
          <w:spacing w:val="-4"/>
          <w:sz w:val="28"/>
          <w:szCs w:val="28"/>
          <w:lang w:val="en-US" w:eastAsia="zh-CN"/>
        </w:rPr>
        <w:t>我单位</w:t>
      </w:r>
      <w:r>
        <w:rPr>
          <w:rStyle w:val="16"/>
          <w:rFonts w:hint="eastAsia" w:ascii="仿宋_GB2312" w:hAnsi="楷体" w:eastAsia="仿宋_GB2312"/>
          <w:b w:val="0"/>
          <w:spacing w:val="-4"/>
          <w:sz w:val="28"/>
          <w:szCs w:val="28"/>
        </w:rPr>
        <w:t>预算为6910.</w:t>
      </w:r>
      <w:r>
        <w:rPr>
          <w:rStyle w:val="16"/>
          <w:rFonts w:hint="eastAsia" w:ascii="仿宋_GB2312" w:hAnsi="楷体" w:eastAsia="仿宋_GB2312"/>
          <w:b w:val="0"/>
          <w:spacing w:val="-4"/>
          <w:sz w:val="28"/>
          <w:szCs w:val="28"/>
          <w:highlight w:val="none"/>
        </w:rPr>
        <w:t>12万元</w:t>
      </w:r>
      <w:r>
        <w:rPr>
          <w:rStyle w:val="16"/>
          <w:rFonts w:hint="eastAsia" w:ascii="仿宋_GB2312" w:hAnsi="楷体" w:eastAsia="仿宋_GB2312"/>
          <w:b w:val="0"/>
          <w:spacing w:val="-4"/>
          <w:sz w:val="28"/>
          <w:szCs w:val="28"/>
        </w:rPr>
        <w:t>，其中：财政拨款为6910.12万元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2021年中追</w:t>
      </w:r>
      <w:r>
        <w:rPr>
          <w:rStyle w:val="16"/>
          <w:rFonts w:hint="eastAsia" w:ascii="仿宋_GB2312" w:hAnsi="楷体" w:eastAsia="仿宋_GB2312"/>
          <w:b w:val="0"/>
          <w:spacing w:val="-4"/>
          <w:sz w:val="28"/>
          <w:szCs w:val="28"/>
          <w:highlight w:val="none"/>
        </w:rPr>
        <w:t>加2313.53万元，调整率50.33%</w:t>
      </w:r>
      <w:r>
        <w:rPr>
          <w:rStyle w:val="16"/>
          <w:rFonts w:hint="eastAsia" w:ascii="仿宋_GB2312" w:hAnsi="楷体" w:eastAsia="仿宋_GB2312"/>
          <w:b w:val="0"/>
          <w:spacing w:val="-4"/>
          <w:sz w:val="28"/>
          <w:szCs w:val="28"/>
        </w:rPr>
        <w:t>。对比上</w:t>
      </w:r>
      <w:r>
        <w:rPr>
          <w:rStyle w:val="16"/>
          <w:rFonts w:hint="eastAsia" w:ascii="仿宋_GB2312" w:hAnsi="楷体" w:eastAsia="仿宋_GB2312"/>
          <w:b w:val="0"/>
          <w:spacing w:val="-4"/>
          <w:sz w:val="28"/>
          <w:szCs w:val="28"/>
          <w:highlight w:val="none"/>
        </w:rPr>
        <w:t>年6579.19万元增加330.93万元，上升5.03%。</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2021年实际决算支出6910.12万元，执行率100%，其中：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（1）基本支出6910.12万元，占总支出的100％，主要用于特克斯县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机构正常运转、完成日常工作任务而发生的各项支出。其中：工资福利支</w:t>
      </w:r>
      <w:r>
        <w:rPr>
          <w:rStyle w:val="16"/>
          <w:rFonts w:hint="eastAsia" w:ascii="仿宋_GB2312" w:hAnsi="楷体" w:eastAsia="仿宋_GB2312"/>
          <w:b w:val="0"/>
          <w:spacing w:val="-4"/>
          <w:sz w:val="28"/>
          <w:szCs w:val="28"/>
          <w:highlight w:val="none"/>
        </w:rPr>
        <w:t>出</w:t>
      </w:r>
      <w:r>
        <w:rPr>
          <w:rStyle w:val="16"/>
          <w:rFonts w:hint="eastAsia" w:ascii="仿宋_GB2312" w:hAnsi="楷体" w:eastAsia="仿宋_GB2312"/>
          <w:b w:val="0"/>
          <w:spacing w:val="-4"/>
          <w:sz w:val="28"/>
          <w:szCs w:val="28"/>
          <w:highlight w:val="none"/>
          <w:lang w:val="en-US" w:eastAsia="zh-CN"/>
        </w:rPr>
        <w:t>6058.18</w:t>
      </w:r>
      <w:r>
        <w:rPr>
          <w:rStyle w:val="16"/>
          <w:rFonts w:hint="eastAsia" w:ascii="仿宋_GB2312" w:hAnsi="楷体" w:eastAsia="仿宋_GB2312"/>
          <w:b w:val="0"/>
          <w:spacing w:val="-4"/>
          <w:sz w:val="28"/>
          <w:szCs w:val="28"/>
          <w:highlight w:val="none"/>
        </w:rPr>
        <w:t>万元，主要用于在职和离退休人员基本工资、津贴补贴等人员经费。商品和服务支出662.92万元，主要用于办公费、印刷费、水电费、办公设备购置等。对个人和家庭的补助189.02万元，主要用于：人员</w:t>
      </w:r>
      <w:r>
        <w:rPr>
          <w:rStyle w:val="16"/>
          <w:rFonts w:hint="eastAsia" w:ascii="仿宋_GB2312" w:hAnsi="楷体" w:eastAsia="仿宋_GB2312"/>
          <w:b w:val="0"/>
          <w:spacing w:val="-4"/>
          <w:sz w:val="28"/>
          <w:szCs w:val="28"/>
        </w:rPr>
        <w:t>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highlight w:val="none"/>
        </w:rPr>
      </w:pPr>
      <w:bookmarkStart w:id="9" w:name="_Toc70450296"/>
      <w:r>
        <w:rPr>
          <w:rStyle w:val="16"/>
          <w:rFonts w:hint="eastAsia" w:ascii="仿宋_GB2312" w:hAnsi="楷体" w:eastAsia="仿宋_GB2312"/>
          <w:b w:val="0"/>
          <w:spacing w:val="-4"/>
          <w:sz w:val="28"/>
          <w:szCs w:val="28"/>
          <w:highlight w:val="none"/>
        </w:rPr>
        <w:t>（2）项目支出0万元，占总支出的0％。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w:t>
      </w:r>
      <w:r>
        <w:rPr>
          <w:rStyle w:val="16"/>
          <w:rFonts w:hint="eastAsia" w:ascii="仿宋_GB2312" w:hAnsi="楷体" w:eastAsia="仿宋_GB2312"/>
          <w:b w:val="0"/>
          <w:spacing w:val="-4"/>
          <w:sz w:val="28"/>
          <w:szCs w:val="28"/>
          <w:lang w:val="en-US" w:eastAsia="zh-CN"/>
        </w:rPr>
        <w:t>特克斯县齐勒乌泽克镇寄宿制初级中学</w:t>
      </w:r>
      <w:r>
        <w:rPr>
          <w:rStyle w:val="16"/>
          <w:rFonts w:hint="eastAsia" w:ascii="仿宋_GB2312" w:hAnsi="楷体" w:eastAsia="仿宋_GB2312"/>
          <w:b w:val="0"/>
          <w:spacing w:val="-4"/>
          <w:sz w:val="28"/>
          <w:szCs w:val="28"/>
        </w:rPr>
        <w:t>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所有财政资金支出活动。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基本支出6910.12万元，其中：工资福利支出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p>
    <w:p>
      <w:pPr>
        <w:spacing w:line="360" w:lineRule="auto"/>
        <w:ind w:firstLine="544" w:firstLineChars="200"/>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highlight w:val="none"/>
        </w:rPr>
        <w:fldChar w:fldCharType="begin"/>
      </w:r>
      <w:r>
        <w:rPr>
          <w:rStyle w:val="16"/>
          <w:rFonts w:hint="eastAsia" w:ascii="仿宋_GB2312" w:hAnsi="楷体" w:eastAsia="仿宋_GB2312"/>
          <w:b w:val="0"/>
          <w:spacing w:val="-4"/>
          <w:sz w:val="28"/>
          <w:szCs w:val="28"/>
          <w:highlight w:val="none"/>
        </w:rPr>
        <w:instrText xml:space="preserve"> = 2 \* GB3 </w:instrText>
      </w:r>
      <w:r>
        <w:rPr>
          <w:rStyle w:val="16"/>
          <w:rFonts w:hint="eastAsia"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hint="eastAsia"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按照财政要求基本支出分月度申报资金使用计划，由财政部门按照进度每月按期拨付，人员支出按照工资计划发放工资；依照特克斯县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《财务管理制度》相关规定和特克斯县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《财务管理制度》规定流程，资金支出按照我内控体系中设定的流程申报审批进行；项目支出属于政府采购的，按照局特克斯县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2021年基本支出预算安排6910.12万元，实际到6910.12万元,实际支出6910.12万元，占总支出的100％，其中：工资福</w:t>
      </w:r>
      <w:bookmarkStart w:id="33" w:name="_GoBack"/>
      <w:r>
        <w:rPr>
          <w:rStyle w:val="16"/>
          <w:rFonts w:hint="eastAsia" w:ascii="仿宋_GB2312" w:hAnsi="楷体" w:eastAsia="仿宋_GB2312"/>
          <w:b w:val="0"/>
          <w:spacing w:val="-4"/>
          <w:sz w:val="28"/>
          <w:szCs w:val="28"/>
          <w:highlight w:val="none"/>
        </w:rPr>
        <w:t>利支出</w:t>
      </w:r>
      <w:r>
        <w:rPr>
          <w:rStyle w:val="16"/>
          <w:rFonts w:hint="eastAsia" w:ascii="仿宋_GB2312" w:hAnsi="楷体" w:eastAsia="仿宋_GB2312"/>
          <w:b w:val="0"/>
          <w:spacing w:val="-4"/>
          <w:sz w:val="28"/>
          <w:szCs w:val="28"/>
          <w:highlight w:val="none"/>
          <w:lang w:val="en-US" w:eastAsia="zh-CN"/>
        </w:rPr>
        <w:t>6058.18</w:t>
      </w:r>
      <w:r>
        <w:rPr>
          <w:rStyle w:val="16"/>
          <w:rFonts w:hint="eastAsia" w:ascii="仿宋_GB2312" w:hAnsi="楷体" w:eastAsia="仿宋_GB2312"/>
          <w:b w:val="0"/>
          <w:spacing w:val="-4"/>
          <w:sz w:val="28"/>
          <w:szCs w:val="28"/>
          <w:highlight w:val="none"/>
        </w:rPr>
        <w:t>万元、商品和服务支出662.92万元、对个人和家庭的补助189.02万</w:t>
      </w:r>
      <w:bookmarkEnd w:id="33"/>
      <w:r>
        <w:rPr>
          <w:rStyle w:val="16"/>
          <w:rFonts w:hint="eastAsia" w:ascii="仿宋_GB2312" w:hAnsi="楷体" w:eastAsia="仿宋_GB2312"/>
          <w:b w:val="0"/>
          <w:spacing w:val="-4"/>
          <w:sz w:val="28"/>
          <w:szCs w:val="28"/>
        </w:rPr>
        <w:t>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2021年基本支出比上年6579.19万元,增加330.93万元，上升 5.03%，支出上升的主要原因是人员调整，特岗入编，人数增加，兑现了部分人员职称工资，2021年3月绩效调标，发放2018年.2020年绩效奖金及2020年综合治理奖。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（1）制定了特克斯县</w:t>
      </w:r>
      <w:r>
        <w:rPr>
          <w:rStyle w:val="16"/>
          <w:rFonts w:hint="eastAsia" w:ascii="仿宋_GB2312" w:hAnsi="楷体" w:eastAsia="仿宋_GB2312"/>
          <w:b w:val="0"/>
          <w:spacing w:val="-4"/>
          <w:sz w:val="28"/>
          <w:szCs w:val="28"/>
          <w:highlight w:val="none"/>
          <w:lang w:eastAsia="zh-CN"/>
        </w:rPr>
        <w:t>齐勒乌泽克镇寄宿制初级中学</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）建立特克斯县</w:t>
      </w:r>
      <w:r>
        <w:rPr>
          <w:rStyle w:val="16"/>
          <w:rFonts w:hint="eastAsia" w:ascii="仿宋_GB2312" w:hAnsi="楷体" w:eastAsia="仿宋_GB2312"/>
          <w:b w:val="0"/>
          <w:spacing w:val="-4"/>
          <w:sz w:val="28"/>
          <w:szCs w:val="28"/>
          <w:highlight w:val="none"/>
          <w:lang w:eastAsia="zh-CN"/>
        </w:rPr>
        <w:t>齐勒乌泽克镇寄宿制初级中学</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（3）制订了特克斯县</w:t>
      </w:r>
      <w:r>
        <w:rPr>
          <w:rStyle w:val="16"/>
          <w:rFonts w:hint="eastAsia" w:ascii="仿宋_GB2312" w:hAnsi="楷体" w:eastAsia="仿宋_GB2312"/>
          <w:b w:val="0"/>
          <w:spacing w:val="-4"/>
          <w:sz w:val="28"/>
          <w:szCs w:val="28"/>
          <w:highlight w:val="none"/>
          <w:lang w:eastAsia="zh-CN"/>
        </w:rPr>
        <w:t>齐勒乌泽克镇寄宿制初级中学</w:t>
      </w:r>
      <w:r>
        <w:rPr>
          <w:rStyle w:val="16"/>
          <w:rFonts w:hint="eastAsia" w:ascii="仿宋_GB2312" w:hAnsi="楷体" w:eastAsia="仿宋_GB2312"/>
          <w:b w:val="0"/>
          <w:spacing w:val="-4"/>
          <w:sz w:val="28"/>
          <w:szCs w:val="28"/>
          <w:highlight w:val="none"/>
        </w:rPr>
        <w:t>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（4）认真组织特克斯县</w:t>
      </w:r>
      <w:r>
        <w:rPr>
          <w:rStyle w:val="16"/>
          <w:rFonts w:hint="eastAsia" w:ascii="仿宋_GB2312" w:hAnsi="楷体" w:eastAsia="仿宋_GB2312"/>
          <w:b w:val="0"/>
          <w:spacing w:val="-4"/>
          <w:sz w:val="28"/>
          <w:szCs w:val="28"/>
          <w:highlight w:val="none"/>
          <w:lang w:eastAsia="zh-CN"/>
        </w:rPr>
        <w:t>齐勒乌泽克镇寄宿制初级中学</w:t>
      </w:r>
      <w:r>
        <w:rPr>
          <w:rStyle w:val="16"/>
          <w:rFonts w:hint="eastAsia" w:ascii="仿宋_GB2312" w:hAnsi="楷体" w:eastAsia="仿宋_GB2312"/>
          <w:b w:val="0"/>
          <w:spacing w:val="-4"/>
          <w:sz w:val="28"/>
          <w:szCs w:val="28"/>
          <w:highlight w:val="none"/>
        </w:rPr>
        <w:t>项目验收，确保项目顺利进行。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2021年我单位未安排项目支出预算.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资产总额2620.56万元，其中流动资产0万元，固定资产净值2620.56万元（其中：土地、房屋及构筑物2620.56万元，占固定资产净值的85.25%；通用设备131.74万元，占固定资产净值的5.03%；专用设备102.13万元，占固定资产净值的3.7%；其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本年度固定资产2620.56万元，比上年增加0.1万元，原因是：</w:t>
      </w:r>
      <w:r>
        <w:rPr>
          <w:rStyle w:val="16"/>
          <w:rFonts w:hint="eastAsia" w:ascii="仿宋_GB2312" w:hAnsi="宋体" w:eastAsia="仿宋_GB2312"/>
          <w:b w:val="0"/>
          <w:bCs w:val="0"/>
          <w:spacing w:val="-4"/>
          <w:sz w:val="28"/>
          <w:szCs w:val="28"/>
        </w:rPr>
        <w:t>通用设备增加。</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实际在用固定资产2620.56万元，固定资产利用率100%。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2021年度我单位年初预算安排4596.59万元，年中调整2313.53万元，截止12月底支出6910.12万元，执行率100%。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齐勒乌泽克镇寄宿制初级中学</w:t>
      </w:r>
      <w:r>
        <w:rPr>
          <w:rStyle w:val="16"/>
          <w:rFonts w:hint="eastAsia" w:ascii="仿宋_GB2312" w:hAnsi="楷体" w:eastAsia="仿宋_GB2312"/>
          <w:b w:val="0"/>
          <w:spacing w:val="-4"/>
          <w:sz w:val="28"/>
          <w:szCs w:val="28"/>
        </w:rPr>
        <w:t>整体绩效目标共设置一级指标3个，二级指标  6个，三级指标14个，详细说明如下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指标1：保障在职人员人数，指标值：=</w:t>
      </w:r>
      <w:r>
        <w:rPr>
          <w:rStyle w:val="16"/>
          <w:rFonts w:hint="eastAsia" w:ascii="仿宋_GB2312" w:hAnsi="楷体" w:eastAsia="仿宋_GB2312"/>
          <w:b w:val="0"/>
          <w:spacing w:val="-4"/>
          <w:sz w:val="28"/>
          <w:szCs w:val="28"/>
          <w:lang w:val="en-US" w:eastAsia="zh-CN"/>
        </w:rPr>
        <w:t>424</w:t>
      </w:r>
      <w:r>
        <w:rPr>
          <w:rStyle w:val="16"/>
          <w:rFonts w:hint="eastAsia" w:ascii="仿宋_GB2312" w:hAnsi="楷体" w:eastAsia="仿宋_GB2312"/>
          <w:b w:val="0"/>
          <w:spacing w:val="-4"/>
          <w:sz w:val="28"/>
          <w:szCs w:val="28"/>
        </w:rPr>
        <w:t>人，实际完成值</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val="en-US" w:eastAsia="zh-CN"/>
        </w:rPr>
        <w:t>424</w:t>
      </w:r>
      <w:r>
        <w:rPr>
          <w:rStyle w:val="16"/>
          <w:rFonts w:hint="eastAsia" w:ascii="仿宋_GB2312" w:hAnsi="楷体" w:eastAsia="仿宋_GB2312"/>
          <w:b w:val="0"/>
          <w:spacing w:val="-4"/>
          <w:sz w:val="28"/>
          <w:szCs w:val="28"/>
          <w:highlight w:val="none"/>
        </w:rPr>
        <w:t>人，指标完成率1</w:t>
      </w:r>
      <w:r>
        <w:rPr>
          <w:rStyle w:val="16"/>
          <w:rFonts w:ascii="仿宋_GB2312" w:hAnsi="楷体" w:eastAsia="仿宋_GB2312"/>
          <w:b w:val="0"/>
          <w:spacing w:val="-4"/>
          <w:sz w:val="28"/>
          <w:szCs w:val="28"/>
          <w:highlight w:val="none"/>
        </w:rPr>
        <w:t>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指标2：退休人员数，指标值：=</w:t>
      </w:r>
      <w:r>
        <w:rPr>
          <w:rStyle w:val="16"/>
          <w:rFonts w:hint="eastAsia" w:ascii="仿宋_GB2312" w:hAnsi="楷体" w:eastAsia="仿宋_GB2312"/>
          <w:b w:val="0"/>
          <w:spacing w:val="-4"/>
          <w:sz w:val="28"/>
          <w:szCs w:val="28"/>
          <w:highlight w:val="none"/>
          <w:lang w:val="en-US" w:eastAsia="zh-CN"/>
        </w:rPr>
        <w:t>124</w:t>
      </w:r>
      <w:r>
        <w:rPr>
          <w:rStyle w:val="16"/>
          <w:rFonts w:hint="eastAsia" w:ascii="仿宋_GB2312" w:hAnsi="楷体" w:eastAsia="仿宋_GB2312"/>
          <w:b w:val="0"/>
          <w:spacing w:val="-4"/>
          <w:sz w:val="28"/>
          <w:szCs w:val="28"/>
          <w:highlight w:val="none"/>
        </w:rPr>
        <w:t>人，实际完成值：</w:t>
      </w:r>
      <w:r>
        <w:rPr>
          <w:rStyle w:val="16"/>
          <w:rFonts w:hint="eastAsia" w:ascii="仿宋_GB2312" w:hAnsi="楷体" w:eastAsia="仿宋_GB2312"/>
          <w:b w:val="0"/>
          <w:spacing w:val="-4"/>
          <w:sz w:val="28"/>
          <w:szCs w:val="28"/>
          <w:highlight w:val="none"/>
          <w:lang w:val="en-US" w:eastAsia="zh-CN"/>
        </w:rPr>
        <w:t>124</w:t>
      </w:r>
      <w:r>
        <w:rPr>
          <w:rStyle w:val="16"/>
          <w:rFonts w:hint="eastAsia" w:ascii="仿宋_GB2312" w:hAnsi="楷体" w:eastAsia="仿宋_GB2312"/>
          <w:b w:val="0"/>
          <w:spacing w:val="-4"/>
          <w:sz w:val="28"/>
          <w:szCs w:val="28"/>
          <w:highlight w:val="none"/>
        </w:rPr>
        <w:t>人 ，</w:t>
      </w:r>
      <w:r>
        <w:rPr>
          <w:rStyle w:val="16"/>
          <w:rFonts w:hint="eastAsia" w:ascii="仿宋_GB2312" w:hAnsi="楷体" w:eastAsia="仿宋_GB2312"/>
          <w:b w:val="0"/>
          <w:spacing w:val="-4"/>
          <w:sz w:val="28"/>
          <w:szCs w:val="28"/>
        </w:rPr>
        <w:t>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指标3：保障采暖补贴人员人数，指标值：=548人，实际完成值：</w:t>
      </w:r>
      <w:r>
        <w:rPr>
          <w:rStyle w:val="16"/>
          <w:rFonts w:hint="eastAsia" w:ascii="仿宋_GB2312" w:hAnsi="楷体" w:eastAsia="仿宋_GB2312"/>
          <w:b w:val="0"/>
          <w:spacing w:val="-4"/>
          <w:sz w:val="28"/>
          <w:szCs w:val="28"/>
          <w:lang w:val="en-US" w:eastAsia="zh-CN"/>
        </w:rPr>
        <w:t>548</w:t>
      </w:r>
      <w:r>
        <w:rPr>
          <w:rStyle w:val="16"/>
          <w:rFonts w:hint="eastAsia" w:ascii="仿宋_GB2312" w:hAnsi="楷体" w:eastAsia="仿宋_GB2312"/>
          <w:b w:val="0"/>
          <w:spacing w:val="-4"/>
          <w:sz w:val="28"/>
          <w:szCs w:val="28"/>
        </w:rPr>
        <w:t>人，指标完成率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2、质量指标：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指标1：工资及公用经费保障率，指标值：=100%，实际完成值： 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3、时效指标：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指标1：资金发放及时性，=100%，实际完成值：100%，指标完成率100%；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4、成本指标：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指标1：保障人员人均支出标准，指标值：≤107618.62元/人/年，实际完成值：107618.62元/人/年，指标完成率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指标2：退休人员计生奖励，指标值：≤1312元/人/年，实际完成值：≤1312/人/年，指标完成率100%；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指标3：采暖补贴，指标值：≤1300元/人/年，实际完成值： 1300元/人/年，指标完成率100%；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指标4：遗属补助，指标值：≤4457元/人/年，实际完成值：4457元/人/年，指标完成率1</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5、社会效益指标：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指标2：保证教师队伍稳定，指标值：有效保证，实际完成值：有效保证，指标完成率100%；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6、满意度指标：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指标1：教师满意度，指标值：≥95%，实际完成值：95%，指标完成率100%；</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指标2：退休教师满意度，指标值：≥95%，实际完成值：95%，指标完成率100%</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hint="eastAsia"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
    <w:p/>
    <w:p/>
    <w:p/>
    <w:p/>
    <w:p/>
    <w:p/>
    <w:p/>
    <w:p/>
    <w:p/>
    <w:p/>
    <w:p/>
    <w:tbl>
      <w:tblPr>
        <w:tblStyle w:val="14"/>
        <w:tblW w:w="9325" w:type="dxa"/>
        <w:tblInd w:w="93" w:type="dxa"/>
        <w:tblLayout w:type="autofit"/>
        <w:tblCellMar>
          <w:top w:w="0" w:type="dxa"/>
          <w:left w:w="108" w:type="dxa"/>
          <w:bottom w:w="0" w:type="dxa"/>
          <w:right w:w="108" w:type="dxa"/>
        </w:tblCellMar>
      </w:tblPr>
      <w:tblGrid>
        <w:gridCol w:w="457"/>
        <w:gridCol w:w="983"/>
        <w:gridCol w:w="2118"/>
        <w:gridCol w:w="970"/>
        <w:gridCol w:w="970"/>
        <w:gridCol w:w="970"/>
        <w:gridCol w:w="970"/>
        <w:gridCol w:w="485"/>
        <w:gridCol w:w="431"/>
        <w:gridCol w:w="971"/>
      </w:tblGrid>
      <w:tr>
        <w:tblPrEx>
          <w:tblCellMar>
            <w:top w:w="0" w:type="dxa"/>
            <w:left w:w="108" w:type="dxa"/>
            <w:bottom w:w="0" w:type="dxa"/>
            <w:right w:w="108" w:type="dxa"/>
          </w:tblCellMar>
        </w:tblPrEx>
        <w:trPr>
          <w:trHeight w:val="615" w:hRule="atLeast"/>
        </w:trPr>
        <w:tc>
          <w:tcPr>
            <w:tcW w:w="9325"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b/>
                <w:bCs/>
                <w:kern w:val="0"/>
                <w:sz w:val="32"/>
                <w:szCs w:val="32"/>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414" w:hRule="atLeast"/>
        </w:trPr>
        <w:tc>
          <w:tcPr>
            <w:tcW w:w="9325"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b/>
                <w:bCs/>
                <w:kern w:val="0"/>
                <w:sz w:val="32"/>
                <w:szCs w:val="32"/>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304" w:hRule="atLeast"/>
        </w:trPr>
        <w:tc>
          <w:tcPr>
            <w:tcW w:w="14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16"/>
                <w:szCs w:val="16"/>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885" w:type="dxa"/>
            <w:gridSpan w:val="8"/>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lang w:eastAsia="zh-CN"/>
              </w:rPr>
            </w:pPr>
            <w:r>
              <w:rPr>
                <w:rFonts w:hint="eastAsia" w:ascii="宋体" w:hAnsi="宋体" w:eastAsia="宋体" w:cs="宋体"/>
                <w:i w:val="0"/>
                <w:iCs w:val="0"/>
                <w:color w:val="000000"/>
                <w:kern w:val="0"/>
                <w:sz w:val="24"/>
                <w:szCs w:val="24"/>
                <w:u w:val="none"/>
                <w:lang w:val="en-US" w:eastAsia="zh-CN" w:bidi="ar"/>
              </w:rPr>
              <w:t>特克斯县齐勒乌泽克镇寄宿制初级中学</w:t>
            </w:r>
          </w:p>
        </w:tc>
      </w:tr>
      <w:tr>
        <w:tblPrEx>
          <w:tblCellMar>
            <w:top w:w="0" w:type="dxa"/>
            <w:left w:w="108" w:type="dxa"/>
            <w:bottom w:w="0" w:type="dxa"/>
            <w:right w:w="108" w:type="dxa"/>
          </w:tblCellMar>
        </w:tblPrEx>
        <w:trPr>
          <w:trHeight w:val="698" w:hRule="atLeast"/>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983"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211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主要内容</w:t>
            </w: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857"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698"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b/>
                <w:bCs/>
                <w:kern w:val="0"/>
                <w:sz w:val="24"/>
              </w:rPr>
            </w:pPr>
          </w:p>
        </w:tc>
        <w:tc>
          <w:tcPr>
            <w:tcW w:w="211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b/>
                <w:bCs/>
                <w:kern w:val="0"/>
                <w:sz w:val="24"/>
              </w:rPr>
            </w:pPr>
          </w:p>
        </w:tc>
        <w:tc>
          <w:tcPr>
            <w:tcW w:w="9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财政拨款</w:t>
            </w:r>
          </w:p>
        </w:tc>
        <w:tc>
          <w:tcPr>
            <w:tcW w:w="9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其他资金</w:t>
            </w:r>
          </w:p>
        </w:tc>
        <w:tc>
          <w:tcPr>
            <w:tcW w:w="9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财政拨款</w:t>
            </w:r>
          </w:p>
        </w:tc>
        <w:tc>
          <w:tcPr>
            <w:tcW w:w="97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660"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b/>
                <w:bCs/>
                <w:kern w:val="0"/>
                <w:sz w:val="24"/>
              </w:rPr>
            </w:pPr>
          </w:p>
        </w:tc>
        <w:tc>
          <w:tcPr>
            <w:tcW w:w="98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0"/>
                <w:szCs w:val="20"/>
              </w:rPr>
            </w:pPr>
            <w:r>
              <w:rPr>
                <w:rFonts w:hint="eastAsia" w:ascii="宋体" w:hAnsi="宋体" w:eastAsia="宋体" w:cs="宋体"/>
                <w:i w:val="0"/>
                <w:iCs w:val="0"/>
                <w:color w:val="000000"/>
                <w:kern w:val="0"/>
                <w:sz w:val="24"/>
                <w:szCs w:val="24"/>
                <w:u w:val="none"/>
                <w:lang w:val="en-US" w:eastAsia="zh-CN" w:bidi="ar"/>
              </w:rPr>
              <w:t>人员保障</w:t>
            </w:r>
          </w:p>
        </w:tc>
        <w:tc>
          <w:tcPr>
            <w:tcW w:w="21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97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4596.59</w:t>
            </w:r>
          </w:p>
        </w:tc>
        <w:tc>
          <w:tcPr>
            <w:tcW w:w="97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4596.59</w:t>
            </w:r>
          </w:p>
        </w:tc>
        <w:tc>
          <w:tcPr>
            <w:tcW w:w="9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9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highlight w:val="yellow"/>
              </w:rPr>
            </w:pPr>
            <w:r>
              <w:rPr>
                <w:rFonts w:hint="eastAsia" w:ascii="宋体" w:hAnsi="宋体" w:eastAsia="宋体" w:cs="宋体"/>
                <w:i w:val="0"/>
                <w:iCs w:val="0"/>
                <w:color w:val="000000"/>
                <w:kern w:val="0"/>
                <w:sz w:val="20"/>
                <w:szCs w:val="20"/>
                <w:u w:val="none"/>
                <w:lang w:val="en-US" w:eastAsia="zh-CN" w:bidi="ar"/>
              </w:rPr>
              <w:t>4596.59</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highlight w:val="yellow"/>
              </w:rPr>
            </w:pPr>
            <w:r>
              <w:rPr>
                <w:rFonts w:hint="eastAsia" w:ascii="宋体" w:hAnsi="宋体" w:eastAsia="宋体" w:cs="宋体"/>
                <w:i w:val="0"/>
                <w:iCs w:val="0"/>
                <w:color w:val="000000"/>
                <w:kern w:val="0"/>
                <w:sz w:val="20"/>
                <w:szCs w:val="20"/>
                <w:u w:val="none"/>
                <w:lang w:val="en-US" w:eastAsia="zh-CN" w:bidi="ar"/>
              </w:rPr>
              <w:t>4596.59</w:t>
            </w:r>
          </w:p>
        </w:tc>
        <w:tc>
          <w:tcPr>
            <w:tcW w:w="97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0"/>
                <w:szCs w:val="20"/>
              </w:rPr>
            </w:pPr>
            <w:r>
              <w:rPr>
                <w:rFonts w:hint="eastAsia" w:ascii="宋体" w:hAnsi="宋体" w:eastAsia="宋体" w:cs="宋体"/>
                <w:b/>
                <w:bCs/>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81" w:hRule="atLeast"/>
        </w:trPr>
        <w:tc>
          <w:tcPr>
            <w:tcW w:w="45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b/>
                <w:bCs/>
                <w:kern w:val="0"/>
                <w:sz w:val="24"/>
              </w:rPr>
            </w:pPr>
          </w:p>
        </w:tc>
        <w:tc>
          <w:tcPr>
            <w:tcW w:w="31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4"/>
                <w:szCs w:val="24"/>
                <w:u w:val="none"/>
                <w:lang w:val="en-US" w:eastAsia="zh-CN" w:bidi="ar"/>
              </w:rPr>
              <w:t>金额合计</w:t>
            </w:r>
          </w:p>
        </w:tc>
        <w:tc>
          <w:tcPr>
            <w:tcW w:w="9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4596.59</w:t>
            </w:r>
          </w:p>
        </w:tc>
        <w:tc>
          <w:tcPr>
            <w:tcW w:w="97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0"/>
                <w:szCs w:val="20"/>
                <w:lang w:eastAsia="zh-CN"/>
              </w:rPr>
            </w:pPr>
            <w:r>
              <w:rPr>
                <w:rFonts w:hint="eastAsia" w:ascii="宋体" w:hAnsi="宋体" w:eastAsia="宋体" w:cs="宋体"/>
                <w:i w:val="0"/>
                <w:iCs w:val="0"/>
                <w:color w:val="000000"/>
                <w:kern w:val="0"/>
                <w:sz w:val="20"/>
                <w:szCs w:val="20"/>
                <w:u w:val="none"/>
                <w:lang w:val="en-US" w:eastAsia="zh-CN" w:bidi="ar"/>
              </w:rPr>
              <w:t>4596.59</w:t>
            </w:r>
          </w:p>
        </w:tc>
        <w:tc>
          <w:tcPr>
            <w:tcW w:w="97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0"/>
                <w:szCs w:val="20"/>
                <w:lang w:eastAsia="zh-CN"/>
              </w:rPr>
            </w:pPr>
            <w:r>
              <w:rPr>
                <w:rFonts w:hint="eastAsia" w:ascii="宋体" w:hAnsi="宋体" w:eastAsia="宋体" w:cs="宋体"/>
                <w:i w:val="0"/>
                <w:iCs w:val="0"/>
                <w:color w:val="000000"/>
                <w:kern w:val="0"/>
                <w:sz w:val="20"/>
                <w:szCs w:val="20"/>
                <w:u w:val="none"/>
                <w:lang w:val="en-US" w:eastAsia="zh-CN" w:bidi="ar"/>
              </w:rPr>
              <w:t>0</w:t>
            </w:r>
          </w:p>
        </w:tc>
        <w:tc>
          <w:tcPr>
            <w:tcW w:w="9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4596.59</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0"/>
                <w:szCs w:val="20"/>
                <w:highlight w:val="yellow"/>
                <w:lang w:eastAsia="zh-CN"/>
              </w:rPr>
            </w:pPr>
            <w:r>
              <w:rPr>
                <w:rFonts w:hint="eastAsia" w:ascii="宋体" w:hAnsi="宋体" w:eastAsia="宋体" w:cs="宋体"/>
                <w:i w:val="0"/>
                <w:iCs w:val="0"/>
                <w:color w:val="000000"/>
                <w:kern w:val="0"/>
                <w:sz w:val="20"/>
                <w:szCs w:val="20"/>
                <w:u w:val="none"/>
                <w:lang w:val="en-US" w:eastAsia="zh-CN" w:bidi="ar"/>
              </w:rPr>
              <w:t>4596.59</w:t>
            </w:r>
          </w:p>
        </w:tc>
        <w:tc>
          <w:tcPr>
            <w:tcW w:w="97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0"/>
                <w:szCs w:val="20"/>
              </w:rPr>
            </w:pPr>
            <w:r>
              <w:rPr>
                <w:rFonts w:hint="eastAsia" w:ascii="宋体" w:hAnsi="宋体" w:eastAsia="宋体" w:cs="宋体"/>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435" w:hRule="atLeast"/>
        </w:trPr>
        <w:tc>
          <w:tcPr>
            <w:tcW w:w="457"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071"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797"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0"/>
                <w:szCs w:val="20"/>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495" w:hRule="atLeast"/>
        </w:trPr>
        <w:tc>
          <w:tcPr>
            <w:tcW w:w="457" w:type="dxa"/>
            <w:vMerge w:val="continue"/>
            <w:tcBorders>
              <w:top w:val="nil"/>
              <w:left w:val="nil"/>
              <w:bottom w:val="single" w:color="000000" w:sz="4" w:space="0"/>
              <w:right w:val="single" w:color="auto" w:sz="4" w:space="0"/>
            </w:tcBorders>
            <w:shd w:val="clear" w:color="auto" w:fill="auto"/>
            <w:vAlign w:val="center"/>
          </w:tcPr>
          <w:p>
            <w:pPr>
              <w:jc w:val="center"/>
              <w:rPr>
                <w:rFonts w:ascii="宋体" w:hAnsi="宋体" w:eastAsia="宋体" w:cs="宋体"/>
                <w:b/>
                <w:bCs/>
                <w:kern w:val="0"/>
                <w:sz w:val="24"/>
              </w:rPr>
            </w:pPr>
          </w:p>
        </w:tc>
        <w:tc>
          <w:tcPr>
            <w:tcW w:w="407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i w:val="0"/>
                <w:iCs w:val="0"/>
                <w:color w:val="000000"/>
                <w:kern w:val="0"/>
                <w:sz w:val="20"/>
                <w:szCs w:val="20"/>
                <w:u w:val="none"/>
                <w:lang w:val="en-US" w:eastAsia="zh-CN" w:bidi="ar"/>
              </w:rPr>
              <w:t>目标1：确保人员经费的合理分配。目标2：完成在职教师工资发放、按时完成社保、公积金缴纳。目标3：及时完成退休教师取暖费、计生奖励金目发放。目标4：完成每年教学任务。目5：全面推进各类教师能力提升培训，加强教师队伍建设。目标6：好教育教学管理工作。</w:t>
            </w:r>
          </w:p>
        </w:tc>
        <w:tc>
          <w:tcPr>
            <w:tcW w:w="4797"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i w:val="0"/>
                <w:iCs w:val="0"/>
                <w:color w:val="000000"/>
                <w:kern w:val="0"/>
                <w:sz w:val="20"/>
                <w:szCs w:val="20"/>
                <w:u w:val="none"/>
                <w:lang w:val="en-US" w:eastAsia="zh-CN" w:bidi="ar"/>
              </w:rPr>
              <w:t>完成人员经费的合理分配。完成在职教师工资发放、按时完成社保、公积金缴纳。及时完成退休教师取暖费、计生奖励金目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1590" w:hRule="atLeast"/>
        </w:trPr>
        <w:tc>
          <w:tcPr>
            <w:tcW w:w="457" w:type="dxa"/>
            <w:vMerge w:val="restart"/>
            <w:tcBorders>
              <w:top w:val="nil"/>
              <w:left w:val="nil"/>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b/>
                <w:bCs/>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8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b/>
                <w:bCs/>
                <w:i w:val="0"/>
                <w:iCs w:val="0"/>
                <w:color w:val="000000"/>
                <w:kern w:val="0"/>
                <w:sz w:val="24"/>
                <w:szCs w:val="24"/>
                <w:u w:val="none"/>
                <w:lang w:val="en-US" w:eastAsia="zh-CN" w:bidi="ar"/>
              </w:rPr>
              <w:t>一级指标</w:t>
            </w:r>
          </w:p>
        </w:tc>
        <w:tc>
          <w:tcPr>
            <w:tcW w:w="211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291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40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900" w:hRule="atLeast"/>
        </w:trPr>
        <w:tc>
          <w:tcPr>
            <w:tcW w:w="457"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b/>
                <w:bCs/>
                <w:kern w:val="0"/>
                <w:sz w:val="24"/>
              </w:rPr>
            </w:pPr>
          </w:p>
        </w:tc>
        <w:tc>
          <w:tcPr>
            <w:tcW w:w="983"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16"/>
                <w:szCs w:val="16"/>
              </w:rPr>
            </w:pPr>
            <w:r>
              <w:rPr>
                <w:rFonts w:hint="eastAsia" w:ascii="宋体" w:hAnsi="宋体" w:eastAsia="宋体" w:cs="宋体"/>
                <w:i w:val="0"/>
                <w:iCs w:val="0"/>
                <w:color w:val="000000"/>
                <w:kern w:val="0"/>
                <w:sz w:val="18"/>
                <w:szCs w:val="18"/>
                <w:u w:val="none"/>
                <w:lang w:val="en-US" w:eastAsia="zh-CN" w:bidi="ar"/>
              </w:rPr>
              <w:t>产出指标</w:t>
            </w:r>
          </w:p>
        </w:tc>
        <w:tc>
          <w:tcPr>
            <w:tcW w:w="2118"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16"/>
                <w:szCs w:val="16"/>
              </w:rPr>
            </w:pPr>
            <w:r>
              <w:rPr>
                <w:rFonts w:hint="eastAsia" w:ascii="宋体" w:hAnsi="宋体" w:eastAsia="宋体" w:cs="宋体"/>
                <w:i w:val="0"/>
                <w:iCs w:val="0"/>
                <w:color w:val="000000"/>
                <w:kern w:val="0"/>
                <w:sz w:val="18"/>
                <w:szCs w:val="18"/>
                <w:u w:val="none"/>
                <w:lang w:val="en-US" w:eastAsia="zh-CN" w:bidi="ar"/>
              </w:rPr>
              <w:t>数量指标</w:t>
            </w: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kern w:val="0"/>
                <w:sz w:val="16"/>
                <w:szCs w:val="16"/>
              </w:rPr>
            </w:pPr>
            <w:r>
              <w:rPr>
                <w:rFonts w:hint="eastAsia" w:ascii="宋体" w:hAnsi="宋体" w:eastAsia="宋体" w:cs="宋体"/>
                <w:i w:val="0"/>
                <w:iCs w:val="0"/>
                <w:color w:val="000000"/>
                <w:kern w:val="0"/>
                <w:sz w:val="18"/>
                <w:szCs w:val="18"/>
                <w:u w:val="none"/>
                <w:lang w:val="en-US" w:eastAsia="zh-CN" w:bidi="ar"/>
              </w:rPr>
              <w:t>保障在职人员人数</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color w:val="000000"/>
                <w:kern w:val="0"/>
                <w:sz w:val="16"/>
                <w:szCs w:val="16"/>
              </w:rPr>
            </w:pPr>
            <w:r>
              <w:rPr>
                <w:rFonts w:hint="eastAsia" w:ascii="宋体" w:hAnsi="宋体" w:eastAsia="宋体" w:cs="宋体"/>
                <w:i w:val="0"/>
                <w:iCs w:val="0"/>
                <w:color w:val="000000"/>
                <w:kern w:val="0"/>
                <w:sz w:val="18"/>
                <w:szCs w:val="18"/>
                <w:u w:val="none"/>
                <w:lang w:val="en-US" w:eastAsia="zh-CN" w:bidi="ar"/>
              </w:rPr>
              <w:t>=424人</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color w:val="000000"/>
                <w:kern w:val="0"/>
                <w:sz w:val="16"/>
                <w:szCs w:val="16"/>
              </w:rPr>
            </w:pPr>
            <w:r>
              <w:rPr>
                <w:rFonts w:hint="eastAsia" w:ascii="宋体" w:hAnsi="宋体" w:eastAsia="宋体" w:cs="宋体"/>
                <w:i w:val="0"/>
                <w:iCs w:val="0"/>
                <w:color w:val="000000"/>
                <w:kern w:val="0"/>
                <w:sz w:val="18"/>
                <w:szCs w:val="18"/>
                <w:u w:val="none"/>
                <w:lang w:val="en-US" w:eastAsia="zh-CN" w:bidi="ar"/>
              </w:rPr>
              <w:t>424人</w:t>
            </w:r>
          </w:p>
        </w:tc>
      </w:tr>
      <w:tr>
        <w:tblPrEx>
          <w:tblCellMar>
            <w:top w:w="0" w:type="dxa"/>
            <w:left w:w="108" w:type="dxa"/>
            <w:bottom w:w="0" w:type="dxa"/>
            <w:right w:w="108" w:type="dxa"/>
          </w:tblCellMar>
        </w:tblPrEx>
        <w:trPr>
          <w:trHeight w:val="27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kern w:val="0"/>
                <w:sz w:val="18"/>
                <w:szCs w:val="18"/>
              </w:rPr>
            </w:pPr>
          </w:p>
        </w:tc>
        <w:tc>
          <w:tcPr>
            <w:tcW w:w="2118" w:type="dxa"/>
            <w:vMerge w:val="continue"/>
            <w:tcBorders>
              <w:top w:val="nil"/>
              <w:left w:val="single" w:color="auto" w:sz="4" w:space="0"/>
              <w:bottom w:val="single" w:color="000000" w:sz="4" w:space="0"/>
              <w:right w:val="single" w:color="auto" w:sz="4" w:space="0"/>
            </w:tcBorders>
            <w:shd w:val="clear" w:color="auto" w:fill="auto"/>
            <w:noWrap/>
            <w:vAlign w:val="center"/>
          </w:tcPr>
          <w:p>
            <w:pPr>
              <w:jc w:val="center"/>
              <w:rPr>
                <w:rFonts w:ascii="宋体" w:hAnsi="宋体" w:eastAsia="宋体" w:cs="宋体"/>
                <w:kern w:val="0"/>
                <w:sz w:val="18"/>
                <w:szCs w:val="18"/>
              </w:rPr>
            </w:pP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退休人员数</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=124人</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124人</w:t>
            </w:r>
          </w:p>
        </w:tc>
      </w:tr>
      <w:tr>
        <w:tblPrEx>
          <w:tblCellMar>
            <w:top w:w="0" w:type="dxa"/>
            <w:left w:w="108" w:type="dxa"/>
            <w:bottom w:w="0" w:type="dxa"/>
            <w:right w:w="108" w:type="dxa"/>
          </w:tblCellMar>
        </w:tblPrEx>
        <w:trPr>
          <w:trHeight w:val="27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kern w:val="0"/>
                <w:sz w:val="18"/>
                <w:szCs w:val="18"/>
              </w:rPr>
            </w:pP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保障补贴人员人数</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=548人</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548人</w:t>
            </w:r>
          </w:p>
        </w:tc>
      </w:tr>
      <w:tr>
        <w:tblPrEx>
          <w:tblCellMar>
            <w:top w:w="0" w:type="dxa"/>
            <w:left w:w="108" w:type="dxa"/>
            <w:bottom w:w="0" w:type="dxa"/>
            <w:right w:w="108" w:type="dxa"/>
          </w:tblCellMar>
        </w:tblPrEx>
        <w:trPr>
          <w:trHeight w:val="27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工资及公用经费保障率</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45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时效指标</w:t>
            </w: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资金发放及时性</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375"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vMerge w:val="restart"/>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保障人员人均支出标准</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≤107618.62元/人/年</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107618.62元/人/年</w:t>
            </w:r>
          </w:p>
        </w:tc>
      </w:tr>
      <w:tr>
        <w:tblPrEx>
          <w:tblCellMar>
            <w:top w:w="0" w:type="dxa"/>
            <w:left w:w="108" w:type="dxa"/>
            <w:bottom w:w="0" w:type="dxa"/>
            <w:right w:w="108" w:type="dxa"/>
          </w:tblCellMar>
        </w:tblPrEx>
        <w:trPr>
          <w:trHeight w:val="375"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vMerge w:val="continue"/>
            <w:tcBorders>
              <w:top w:val="single" w:color="auto" w:sz="4" w:space="0"/>
              <w:left w:val="nil"/>
              <w:bottom w:val="nil"/>
              <w:right w:val="single" w:color="auto" w:sz="4" w:space="0"/>
            </w:tcBorders>
            <w:shd w:val="clear" w:color="auto" w:fill="auto"/>
            <w:noWrap/>
            <w:vAlign w:val="center"/>
          </w:tcPr>
          <w:p>
            <w:pPr>
              <w:jc w:val="center"/>
              <w:rPr>
                <w:rFonts w:ascii="宋体" w:hAnsi="宋体" w:eastAsia="宋体" w:cs="宋体"/>
                <w:kern w:val="0"/>
                <w:sz w:val="18"/>
                <w:szCs w:val="18"/>
              </w:rPr>
            </w:pP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退休人员计生奖励</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≤1312元/人/年</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1312元/人/年</w:t>
            </w:r>
          </w:p>
        </w:tc>
      </w:tr>
      <w:tr>
        <w:tblPrEx>
          <w:tblCellMar>
            <w:top w:w="0" w:type="dxa"/>
            <w:left w:w="108" w:type="dxa"/>
            <w:bottom w:w="0" w:type="dxa"/>
            <w:right w:w="108" w:type="dxa"/>
          </w:tblCellMar>
        </w:tblPrEx>
        <w:trPr>
          <w:trHeight w:val="45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vMerge w:val="continue"/>
            <w:tcBorders>
              <w:top w:val="single" w:color="auto" w:sz="4" w:space="0"/>
              <w:left w:val="single" w:color="auto" w:sz="4" w:space="0"/>
              <w:bottom w:val="single" w:color="000000" w:sz="4" w:space="0"/>
              <w:right w:val="single" w:color="auto" w:sz="4" w:space="0"/>
            </w:tcBorders>
            <w:shd w:val="clear" w:color="auto" w:fill="auto"/>
            <w:noWrap/>
            <w:vAlign w:val="center"/>
          </w:tcPr>
          <w:p>
            <w:pPr>
              <w:jc w:val="center"/>
              <w:rPr>
                <w:rFonts w:ascii="宋体" w:hAnsi="宋体" w:eastAsia="宋体" w:cs="宋体"/>
                <w:kern w:val="0"/>
                <w:sz w:val="18"/>
                <w:szCs w:val="18"/>
              </w:rPr>
            </w:pP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采暖补贴</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≤1300元/人/年</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highlight w:val="yellow"/>
              </w:rPr>
            </w:pPr>
            <w:r>
              <w:rPr>
                <w:rFonts w:hint="eastAsia" w:ascii="宋体" w:hAnsi="宋体" w:eastAsia="宋体" w:cs="宋体"/>
                <w:i w:val="0"/>
                <w:iCs w:val="0"/>
                <w:color w:val="000000"/>
                <w:kern w:val="0"/>
                <w:sz w:val="18"/>
                <w:szCs w:val="18"/>
                <w:u w:val="none"/>
                <w:lang w:val="en-US" w:eastAsia="zh-CN" w:bidi="ar"/>
              </w:rPr>
              <w:t>1300元/人/年</w:t>
            </w:r>
          </w:p>
        </w:tc>
      </w:tr>
      <w:tr>
        <w:tblPrEx>
          <w:tblCellMar>
            <w:top w:w="0" w:type="dxa"/>
            <w:left w:w="108" w:type="dxa"/>
            <w:bottom w:w="0" w:type="dxa"/>
            <w:right w:w="108" w:type="dxa"/>
          </w:tblCellMar>
        </w:tblPrEx>
        <w:trPr>
          <w:trHeight w:val="45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vMerge w:val="continue"/>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宋体"/>
                <w:kern w:val="0"/>
                <w:sz w:val="18"/>
                <w:szCs w:val="18"/>
              </w:rPr>
            </w:pP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遗属补助</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≤4457元/人/年</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highlight w:val="yellow"/>
              </w:rPr>
            </w:pPr>
            <w:r>
              <w:rPr>
                <w:rFonts w:hint="eastAsia" w:ascii="宋体" w:hAnsi="宋体" w:eastAsia="宋体" w:cs="宋体"/>
                <w:i w:val="0"/>
                <w:iCs w:val="0"/>
                <w:color w:val="000000"/>
                <w:kern w:val="0"/>
                <w:sz w:val="18"/>
                <w:szCs w:val="18"/>
                <w:u w:val="none"/>
                <w:lang w:val="en-US" w:eastAsia="zh-CN" w:bidi="ar"/>
              </w:rPr>
              <w:t>4457元/人/年</w:t>
            </w:r>
          </w:p>
        </w:tc>
      </w:tr>
      <w:tr>
        <w:tblPrEx>
          <w:tblCellMar>
            <w:top w:w="0" w:type="dxa"/>
            <w:left w:w="108" w:type="dxa"/>
            <w:bottom w:w="0" w:type="dxa"/>
            <w:right w:w="108" w:type="dxa"/>
          </w:tblCellMar>
        </w:tblPrEx>
        <w:trPr>
          <w:trHeight w:val="339"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效益指标</w:t>
            </w:r>
          </w:p>
        </w:tc>
        <w:tc>
          <w:tcPr>
            <w:tcW w:w="211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保证教学任务及时完成</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有效保证</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highlight w:val="yellow"/>
              </w:rPr>
            </w:pPr>
            <w:r>
              <w:rPr>
                <w:rFonts w:hint="eastAsia" w:ascii="宋体" w:hAnsi="宋体" w:eastAsia="宋体" w:cs="宋体"/>
                <w:i w:val="0"/>
                <w:iCs w:val="0"/>
                <w:color w:val="000000"/>
                <w:kern w:val="0"/>
                <w:sz w:val="18"/>
                <w:szCs w:val="18"/>
                <w:u w:val="none"/>
                <w:lang w:val="en-US" w:eastAsia="zh-CN" w:bidi="ar"/>
              </w:rPr>
              <w:t>有效保证</w:t>
            </w:r>
          </w:p>
        </w:tc>
      </w:tr>
      <w:tr>
        <w:tblPrEx>
          <w:tblCellMar>
            <w:top w:w="0" w:type="dxa"/>
            <w:left w:w="108" w:type="dxa"/>
            <w:bottom w:w="0" w:type="dxa"/>
            <w:right w:w="108" w:type="dxa"/>
          </w:tblCellMar>
        </w:tblPrEx>
        <w:trPr>
          <w:trHeight w:val="345"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保证教师队伍稳定</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8"/>
                <w:szCs w:val="18"/>
                <w:u w:val="none"/>
                <w:lang w:val="en-US" w:eastAsia="zh-CN" w:bidi="ar"/>
              </w:rPr>
              <w:t>有效保证</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highlight w:val="yellow"/>
              </w:rPr>
            </w:pPr>
            <w:r>
              <w:rPr>
                <w:rFonts w:hint="eastAsia" w:ascii="宋体" w:hAnsi="宋体" w:eastAsia="宋体" w:cs="宋体"/>
                <w:i w:val="0"/>
                <w:iCs w:val="0"/>
                <w:color w:val="000000"/>
                <w:kern w:val="0"/>
                <w:sz w:val="18"/>
                <w:szCs w:val="18"/>
                <w:u w:val="none"/>
                <w:lang w:val="en-US" w:eastAsia="zh-CN" w:bidi="ar"/>
              </w:rPr>
              <w:t>有效保证</w:t>
            </w:r>
          </w:p>
        </w:tc>
      </w:tr>
      <w:tr>
        <w:tblPrEx>
          <w:tblCellMar>
            <w:top w:w="0" w:type="dxa"/>
            <w:left w:w="108" w:type="dxa"/>
            <w:bottom w:w="0" w:type="dxa"/>
            <w:right w:w="108" w:type="dxa"/>
          </w:tblCellMar>
        </w:tblPrEx>
        <w:trPr>
          <w:trHeight w:val="27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满意度指标</w:t>
            </w:r>
          </w:p>
        </w:tc>
        <w:tc>
          <w:tcPr>
            <w:tcW w:w="211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满意度指标</w:t>
            </w: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教师满意度</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≥95%</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95%</w:t>
            </w:r>
          </w:p>
        </w:tc>
      </w:tr>
      <w:tr>
        <w:tblPrEx>
          <w:tblCellMar>
            <w:top w:w="0" w:type="dxa"/>
            <w:left w:w="108" w:type="dxa"/>
            <w:bottom w:w="0" w:type="dxa"/>
            <w:right w:w="108" w:type="dxa"/>
          </w:tblCellMar>
        </w:tblPrEx>
        <w:trPr>
          <w:trHeight w:val="270" w:hRule="atLeast"/>
        </w:trPr>
        <w:tc>
          <w:tcPr>
            <w:tcW w:w="45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b/>
                <w:bCs/>
                <w:kern w:val="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11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291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退休教师满意度</w:t>
            </w:r>
          </w:p>
        </w:tc>
        <w:tc>
          <w:tcPr>
            <w:tcW w:w="145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≥95%</w:t>
            </w:r>
          </w:p>
        </w:tc>
        <w:tc>
          <w:tcPr>
            <w:tcW w:w="14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highlight w:val="yellow"/>
              </w:rPr>
            </w:pPr>
            <w:r>
              <w:rPr>
                <w:rFonts w:hint="eastAsia" w:ascii="宋体" w:hAnsi="宋体" w:eastAsia="宋体" w:cs="宋体"/>
                <w:i w:val="0"/>
                <w:iCs w:val="0"/>
                <w:color w:val="000000"/>
                <w:kern w:val="0"/>
                <w:sz w:val="18"/>
                <w:szCs w:val="18"/>
                <w:u w:val="none"/>
                <w:lang w:val="en-US" w:eastAsia="zh-CN" w:bidi="ar"/>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25A44"/>
    <w:rsid w:val="000376C8"/>
    <w:rsid w:val="00072084"/>
    <w:rsid w:val="0009422A"/>
    <w:rsid w:val="000B6B13"/>
    <w:rsid w:val="000D1DEE"/>
    <w:rsid w:val="000D3AFA"/>
    <w:rsid w:val="000E3313"/>
    <w:rsid w:val="00105D60"/>
    <w:rsid w:val="001121F2"/>
    <w:rsid w:val="00112859"/>
    <w:rsid w:val="001173EB"/>
    <w:rsid w:val="00150C4C"/>
    <w:rsid w:val="00191BA3"/>
    <w:rsid w:val="001A2299"/>
    <w:rsid w:val="001A3A0E"/>
    <w:rsid w:val="001F630E"/>
    <w:rsid w:val="0022744B"/>
    <w:rsid w:val="00234372"/>
    <w:rsid w:val="00234B37"/>
    <w:rsid w:val="00246941"/>
    <w:rsid w:val="002553DC"/>
    <w:rsid w:val="002764C7"/>
    <w:rsid w:val="00283AA2"/>
    <w:rsid w:val="002A102C"/>
    <w:rsid w:val="002D075E"/>
    <w:rsid w:val="00303A08"/>
    <w:rsid w:val="003226C4"/>
    <w:rsid w:val="0033316F"/>
    <w:rsid w:val="0039631D"/>
    <w:rsid w:val="003B3C33"/>
    <w:rsid w:val="003E3DEF"/>
    <w:rsid w:val="003E7C70"/>
    <w:rsid w:val="004220B9"/>
    <w:rsid w:val="00463E61"/>
    <w:rsid w:val="0049337C"/>
    <w:rsid w:val="004C4C4D"/>
    <w:rsid w:val="004C6FF3"/>
    <w:rsid w:val="004E69F5"/>
    <w:rsid w:val="004E7AAC"/>
    <w:rsid w:val="00531A31"/>
    <w:rsid w:val="00533C6C"/>
    <w:rsid w:val="005359D3"/>
    <w:rsid w:val="00546768"/>
    <w:rsid w:val="00554458"/>
    <w:rsid w:val="00593943"/>
    <w:rsid w:val="005A08A8"/>
    <w:rsid w:val="005B1250"/>
    <w:rsid w:val="005C33CE"/>
    <w:rsid w:val="006225D7"/>
    <w:rsid w:val="00633862"/>
    <w:rsid w:val="006379B7"/>
    <w:rsid w:val="006413B6"/>
    <w:rsid w:val="006774B2"/>
    <w:rsid w:val="006910A7"/>
    <w:rsid w:val="00691310"/>
    <w:rsid w:val="006A7181"/>
    <w:rsid w:val="006C5BED"/>
    <w:rsid w:val="006D3947"/>
    <w:rsid w:val="00702D4A"/>
    <w:rsid w:val="00704751"/>
    <w:rsid w:val="007115C8"/>
    <w:rsid w:val="00713ADC"/>
    <w:rsid w:val="00725B9A"/>
    <w:rsid w:val="00754721"/>
    <w:rsid w:val="007713F8"/>
    <w:rsid w:val="007A7491"/>
    <w:rsid w:val="007A7874"/>
    <w:rsid w:val="007E23B1"/>
    <w:rsid w:val="00800784"/>
    <w:rsid w:val="00817432"/>
    <w:rsid w:val="008614D8"/>
    <w:rsid w:val="0086230F"/>
    <w:rsid w:val="00875327"/>
    <w:rsid w:val="00886879"/>
    <w:rsid w:val="008875A1"/>
    <w:rsid w:val="00890FC2"/>
    <w:rsid w:val="008E3F8A"/>
    <w:rsid w:val="00923468"/>
    <w:rsid w:val="00952782"/>
    <w:rsid w:val="0095580D"/>
    <w:rsid w:val="0097614B"/>
    <w:rsid w:val="00990F1C"/>
    <w:rsid w:val="00992D45"/>
    <w:rsid w:val="009A10CC"/>
    <w:rsid w:val="009A1625"/>
    <w:rsid w:val="009C0DEF"/>
    <w:rsid w:val="009E5FF8"/>
    <w:rsid w:val="009F06F4"/>
    <w:rsid w:val="00A05135"/>
    <w:rsid w:val="00A07414"/>
    <w:rsid w:val="00A2396A"/>
    <w:rsid w:val="00A43D21"/>
    <w:rsid w:val="00A55238"/>
    <w:rsid w:val="00AA19F1"/>
    <w:rsid w:val="00AA5126"/>
    <w:rsid w:val="00AC4471"/>
    <w:rsid w:val="00AD16CD"/>
    <w:rsid w:val="00AF42EB"/>
    <w:rsid w:val="00B130FE"/>
    <w:rsid w:val="00B17FA8"/>
    <w:rsid w:val="00B34A48"/>
    <w:rsid w:val="00B34F85"/>
    <w:rsid w:val="00B407C3"/>
    <w:rsid w:val="00B666A1"/>
    <w:rsid w:val="00B8256C"/>
    <w:rsid w:val="00B91294"/>
    <w:rsid w:val="00BA1454"/>
    <w:rsid w:val="00BF1F34"/>
    <w:rsid w:val="00C16942"/>
    <w:rsid w:val="00C3552F"/>
    <w:rsid w:val="00C42609"/>
    <w:rsid w:val="00C4673D"/>
    <w:rsid w:val="00C76454"/>
    <w:rsid w:val="00C81F75"/>
    <w:rsid w:val="00CB1C9D"/>
    <w:rsid w:val="00CB6A92"/>
    <w:rsid w:val="00CC7606"/>
    <w:rsid w:val="00CD2F35"/>
    <w:rsid w:val="00CE16E7"/>
    <w:rsid w:val="00CE61DB"/>
    <w:rsid w:val="00D26F3D"/>
    <w:rsid w:val="00D278CF"/>
    <w:rsid w:val="00D43082"/>
    <w:rsid w:val="00D77626"/>
    <w:rsid w:val="00D81EE2"/>
    <w:rsid w:val="00DA4CE0"/>
    <w:rsid w:val="00DA67B8"/>
    <w:rsid w:val="00DB1085"/>
    <w:rsid w:val="00DD223C"/>
    <w:rsid w:val="00E213C7"/>
    <w:rsid w:val="00E41A31"/>
    <w:rsid w:val="00E536C5"/>
    <w:rsid w:val="00E6582B"/>
    <w:rsid w:val="00E7188B"/>
    <w:rsid w:val="00EA25B8"/>
    <w:rsid w:val="00EA5F4F"/>
    <w:rsid w:val="00F006BD"/>
    <w:rsid w:val="00F014EE"/>
    <w:rsid w:val="00F17550"/>
    <w:rsid w:val="00F27120"/>
    <w:rsid w:val="00F341E0"/>
    <w:rsid w:val="00F36401"/>
    <w:rsid w:val="00F41E0B"/>
    <w:rsid w:val="00F42445"/>
    <w:rsid w:val="00F44FCC"/>
    <w:rsid w:val="00F50F36"/>
    <w:rsid w:val="00F74974"/>
    <w:rsid w:val="00F82795"/>
    <w:rsid w:val="00F829DE"/>
    <w:rsid w:val="00F84215"/>
    <w:rsid w:val="00F91CBB"/>
    <w:rsid w:val="00FC2EB7"/>
    <w:rsid w:val="04802927"/>
    <w:rsid w:val="09507CDE"/>
    <w:rsid w:val="09DA1C2B"/>
    <w:rsid w:val="0E9A5E97"/>
    <w:rsid w:val="106E5105"/>
    <w:rsid w:val="11194576"/>
    <w:rsid w:val="15F72E61"/>
    <w:rsid w:val="1698538C"/>
    <w:rsid w:val="1C3739D3"/>
    <w:rsid w:val="1EB60E4D"/>
    <w:rsid w:val="23333F99"/>
    <w:rsid w:val="24FD2B3F"/>
    <w:rsid w:val="25674173"/>
    <w:rsid w:val="27845646"/>
    <w:rsid w:val="2DBB4593"/>
    <w:rsid w:val="31F44871"/>
    <w:rsid w:val="3C4252FF"/>
    <w:rsid w:val="3CBF2E2D"/>
    <w:rsid w:val="3DC049AF"/>
    <w:rsid w:val="3ED15516"/>
    <w:rsid w:val="412C5731"/>
    <w:rsid w:val="44FD0016"/>
    <w:rsid w:val="47FE6B56"/>
    <w:rsid w:val="4CA86A9A"/>
    <w:rsid w:val="55664BF9"/>
    <w:rsid w:val="560A5808"/>
    <w:rsid w:val="56EB110A"/>
    <w:rsid w:val="62AE50B3"/>
    <w:rsid w:val="62C70589"/>
    <w:rsid w:val="78917107"/>
    <w:rsid w:val="7AE94436"/>
    <w:rsid w:val="7B6D08F5"/>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6370</Words>
  <Characters>6915</Characters>
  <Lines>8</Lines>
  <Paragraphs>14</Paragraphs>
  <TotalTime>2</TotalTime>
  <ScaleCrop>false</ScaleCrop>
  <LinksUpToDate>false</LinksUpToDate>
  <CharactersWithSpaces>6930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2022-05-26T11:49:22Z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10055FDEA6694306BEC6F52534F3174D</vt:lpwstr>
  </property>
</Properties>
</file>